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2CEF3" w14:textId="77777777" w:rsidR="00536112" w:rsidRPr="00536112" w:rsidRDefault="00536112" w:rsidP="00536112">
      <w:pPr>
        <w:spacing w:before="100" w:beforeAutospacing="1" w:after="100" w:afterAutospacing="1"/>
        <w:outlineLvl w:val="1"/>
        <w:rPr>
          <w:rFonts w:eastAsia="Times New Roman" w:cstheme="minorHAnsi"/>
          <w:b/>
          <w:bCs/>
          <w:lang w:val="en-TR"/>
        </w:rPr>
      </w:pPr>
      <w:r w:rsidRPr="00536112">
        <w:rPr>
          <w:rFonts w:eastAsia="Times New Roman" w:cstheme="minorHAnsi"/>
          <w:b/>
          <w:bCs/>
          <w:lang w:val="en-TR"/>
        </w:rPr>
        <w:t>About Atabay</w:t>
      </w:r>
    </w:p>
    <w:p w14:paraId="7AC9E524"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Atabay traces its origins back to 1939, when Pharmacist Ö. Kemalettin Atabay founded the “Şark Merkez” pharmaceutical warehouse in Istanbul. The company began pharmaceutical manufacturing in 1955 at the Tophane facility and, in 1967, relocated to its current headquarters at the Acıbadem Atabay Pharmaceutical Plant.</w:t>
      </w:r>
    </w:p>
    <w:p w14:paraId="2E687E01"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In 1970, Atabay expanded into active pharmaceutical ingredient (API) production under Atabay Kimya Sanayi ve Ticaret A.Ş. in Gebze, followed by the establishment of Atabay Tarım ve Veteriner İlaçları A.Ş. in 1975, focusing on agricultural and veterinary APIs and finished products. Across these facilities, Atabay has produced more than 100 APIs for human, agricultural, and veterinary applications.</w:t>
      </w:r>
    </w:p>
    <w:p w14:paraId="79B6C3CD"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Through its backward integration capabilities and proprietary synthesis processes, Atabay has become the only integrated manufacturer in Europe for strategic molecules such as paracetamol, oseltamivir, and favipiravir APIs, exporting these critical products to 67 countries worldwide.</w:t>
      </w:r>
    </w:p>
    <w:p w14:paraId="73828EB3"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Atabay supports its international growth not only through a distributor-based model but also through direct local operations. With a network of 41 distributors across five continents, the company has established a direct presence with its office in Kazakhstan and a representative office in Bulgaria.</w:t>
      </w:r>
    </w:p>
    <w:p w14:paraId="72A95333"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For over 87 years, Atabay has been committed to meeting Türkiye’s healthcare needs through local manufacturing. As a third-generation family-owned company rooted in the founding values of the Republic, Atabay regards pharmaceutical production not only as an industrial activity but also as a societal responsibility. The company places human health and environmental sustainability at the core of its strategy, prioritizing the development and production of essential medicines through science-based, cost-effective, and locally sourced solutions.</w:t>
      </w:r>
    </w:p>
    <w:p w14:paraId="64E9B433"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Atabay operates GMP-certified manufacturing facilities approved by the Ministry of Industry and Technology. At a time when Türkiye’s dependency on imported APIs reaches up to 95%, the company continues to invest in advanced technologies to reduce external dependency, expand production capabilities, and ensure long-term sustainability.</w:t>
      </w:r>
    </w:p>
    <w:p w14:paraId="74B2FF49"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With a broad manufacturing portfolio ranging from beta-lactam antibiotics to sterile infusions, prefilled syringes, pediatric suspensions, tablets, capsules, and powder formulations, Atabay has synthesized more than 50 APIs and holds licenses for over 100 finished pharmaceutical products. With an annual production capacity of approximately 116 million boxes, the company ranks among the leading manufacturers in Türkiye’s domestic market.</w:t>
      </w:r>
    </w:p>
    <w:p w14:paraId="11F88FE7"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Atabay conducts end-to-end R&amp;D activities across small molecules, herbal products, and biotechnology-based APIs and formulations. Collaborating with a wide network of stakeholders—including physicians, universities, startups, and public institutions—the company positions itself as a science-driven pharmaceutical organization.</w:t>
      </w:r>
    </w:p>
    <w:p w14:paraId="07B5587A"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lastRenderedPageBreak/>
        <w:t>Atabay Biotechnology is among the five facilities in Türkiye authorized by the Ministry of Health for GMP-compliant vaccine production, and one of only three facilities licensed for microbial biosimilar production. Through strategic collaborations with TÜBİTAK Marmara Research Center (MAM) and leading universities, as well as partnerships with Technology Transfer Offices and technoparks via its ÜSİMP membership, Atabay continues to strengthen its innovation ecosystem.</w:t>
      </w:r>
    </w:p>
    <w:p w14:paraId="531005B4"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In 2020, Atabay completed a major modernization program, obtaining EU GMP and Canada GMP certifications for its manufacturing facilities. In addition, its R&amp;D centers in Acıbadem (accredited in 2019) and Gebze (accredited in 2022) have been officially recognized by the Ministry of Industry and Technology. Atabay continues to develop new APIs in areas such as small molecules, biotechnology, vaccines, and Traditional Herbal Medicinal Products (THMP).</w:t>
      </w:r>
    </w:p>
    <w:p w14:paraId="28B7ABE0"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With a strong product portfolio in pain management and anti-infectives, Atabay played a critical role during the COVID-19 pandemic by ensuring rapid access to essential medicines such as paracetamol, antivirals, and anticoagulants through its domestic production capabilities.</w:t>
      </w:r>
    </w:p>
    <w:p w14:paraId="29496FEA"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Looking ahead, Atabay aims to expand into strategic therapeutic areas including cardiology, cardiovascular surgery, internal medicine, and endocrinology. With its strong commitment to quality-driven manufacturing, the company seeks to further strengthen its position as a trusted partner in Türkiye’s healthcare system.</w:t>
      </w:r>
    </w:p>
    <w:p w14:paraId="01573F0D" w14:textId="77777777" w:rsidR="00536112" w:rsidRPr="00536112" w:rsidRDefault="00536112" w:rsidP="00536112">
      <w:pPr>
        <w:spacing w:before="100" w:beforeAutospacing="1" w:after="100" w:afterAutospacing="1"/>
        <w:rPr>
          <w:rFonts w:eastAsia="Times New Roman" w:cstheme="minorHAnsi"/>
          <w:lang w:val="en-TR"/>
        </w:rPr>
      </w:pPr>
      <w:r w:rsidRPr="00536112">
        <w:rPr>
          <w:rFonts w:eastAsia="Times New Roman" w:cstheme="minorHAnsi"/>
          <w:lang w:val="en-TR"/>
        </w:rPr>
        <w:t>With a corporate culture that transfers its deep-rooted knowledge and experience to future generations, Atabay continues to make a difference in the industry. Today, under third-generation leadership, the company is moving forward with a more innovative, sustainable, and future-oriented structure.</w:t>
      </w:r>
    </w:p>
    <w:p w14:paraId="04F5FA99" w14:textId="77777777" w:rsidR="00693408" w:rsidRPr="00536112" w:rsidRDefault="00693408" w:rsidP="00536112">
      <w:pPr>
        <w:rPr>
          <w:rFonts w:cstheme="minorHAnsi"/>
        </w:rPr>
      </w:pPr>
    </w:p>
    <w:sectPr w:rsidR="00693408" w:rsidRPr="005361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408"/>
    <w:rsid w:val="000667DB"/>
    <w:rsid w:val="000733C1"/>
    <w:rsid w:val="0035314E"/>
    <w:rsid w:val="00536112"/>
    <w:rsid w:val="005F795D"/>
    <w:rsid w:val="00693408"/>
    <w:rsid w:val="009A43D6"/>
    <w:rsid w:val="00B84483"/>
    <w:rsid w:val="00C50FE3"/>
    <w:rsid w:val="00C75F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55F5F"/>
  <w15:chartTrackingRefBased/>
  <w15:docId w15:val="{07B37AC0-D863-8643-A52E-2194109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08"/>
  </w:style>
  <w:style w:type="paragraph" w:styleId="Heading2">
    <w:name w:val="heading 2"/>
    <w:basedOn w:val="Normal"/>
    <w:link w:val="Heading2Char"/>
    <w:uiPriority w:val="9"/>
    <w:qFormat/>
    <w:rsid w:val="00536112"/>
    <w:pPr>
      <w:spacing w:before="100" w:beforeAutospacing="1" w:after="100" w:afterAutospacing="1"/>
      <w:outlineLvl w:val="1"/>
    </w:pPr>
    <w:rPr>
      <w:rFonts w:ascii="Times New Roman" w:eastAsia="Times New Roman" w:hAnsi="Times New Roman" w:cs="Times New Roman"/>
      <w:b/>
      <w:bCs/>
      <w:sz w:val="36"/>
      <w:szCs w:val="36"/>
      <w:lang w:val="en-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3408"/>
    <w:pPr>
      <w:spacing w:before="100" w:beforeAutospacing="1" w:after="100" w:afterAutospacing="1"/>
    </w:pPr>
    <w:rPr>
      <w:rFonts w:ascii="Times New Roman" w:eastAsia="Times New Roman" w:hAnsi="Times New Roman" w:cs="Times New Roman"/>
      <w:lang w:eastAsia="tr-TR"/>
    </w:rPr>
  </w:style>
  <w:style w:type="character" w:styleId="Strong">
    <w:name w:val="Strong"/>
    <w:basedOn w:val="DefaultParagraphFont"/>
    <w:uiPriority w:val="22"/>
    <w:qFormat/>
    <w:rsid w:val="00693408"/>
    <w:rPr>
      <w:b/>
      <w:bCs/>
    </w:rPr>
  </w:style>
  <w:style w:type="character" w:customStyle="1" w:styleId="Heading2Char">
    <w:name w:val="Heading 2 Char"/>
    <w:basedOn w:val="DefaultParagraphFont"/>
    <w:link w:val="Heading2"/>
    <w:uiPriority w:val="9"/>
    <w:rsid w:val="00536112"/>
    <w:rPr>
      <w:rFonts w:ascii="Times New Roman" w:eastAsia="Times New Roman" w:hAnsi="Times New Roman" w:cs="Times New Roman"/>
      <w:b/>
      <w:bCs/>
      <w:sz w:val="36"/>
      <w:szCs w:val="36"/>
      <w:lang w:val="en-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Yeşim Dizdaroğlu</cp:lastModifiedBy>
  <cp:revision>6</cp:revision>
  <dcterms:created xsi:type="dcterms:W3CDTF">2025-09-08T14:29:00Z</dcterms:created>
  <dcterms:modified xsi:type="dcterms:W3CDTF">2026-04-14T11:12:00Z</dcterms:modified>
</cp:coreProperties>
</file>